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19F" w:rsidRDefault="0030119F" w:rsidP="00C4128F">
      <w:pPr>
        <w:shd w:val="clear" w:color="auto" w:fill="FFFFFF"/>
        <w:spacing w:before="120" w:after="120"/>
        <w:jc w:val="both"/>
        <w:rPr>
          <w:rFonts w:ascii="Arial" w:hAnsi="Arial"/>
        </w:rPr>
      </w:pPr>
      <w:r w:rsidRPr="00375A4B">
        <w:rPr>
          <w:rFonts w:ascii="Arial" w:hAnsi="Arial" w:cs="Arial"/>
          <w:b/>
          <w:lang w:val="es-ES_tradnl"/>
        </w:rPr>
        <w:t>UNIDAD 4. Las expresiones culturales como medios de construcción del México plural y de su patrimonio</w:t>
      </w:r>
    </w:p>
    <w:p w:rsidR="00C4128F" w:rsidRDefault="00C4128F" w:rsidP="00C4128F">
      <w:pPr>
        <w:shd w:val="clear" w:color="auto" w:fill="FFFFFF"/>
        <w:spacing w:before="120" w:after="120"/>
        <w:jc w:val="both"/>
        <w:rPr>
          <w:rFonts w:ascii="Arial" w:hAnsi="Arial"/>
        </w:rPr>
      </w:pPr>
      <w:r>
        <w:rPr>
          <w:rFonts w:ascii="Arial" w:hAnsi="Arial"/>
        </w:rPr>
        <w:t>¿Cuáles son los aprendizajes que debes lograr en relación con la unidad 4? ¿Qué sabes hasta este momento? ¿Qué está pendiente por aprender?</w:t>
      </w:r>
      <w:r w:rsidR="0030119F">
        <w:rPr>
          <w:rFonts w:ascii="Arial" w:hAnsi="Arial"/>
        </w:rPr>
        <w:t xml:space="preserve"> ¿Qué te interesa? </w:t>
      </w:r>
      <w:r>
        <w:rPr>
          <w:rFonts w:ascii="Arial" w:hAnsi="Arial"/>
        </w:rPr>
        <w:t xml:space="preserve"> </w:t>
      </w:r>
      <w:r w:rsidR="0030119F">
        <w:rPr>
          <w:rFonts w:ascii="Arial" w:hAnsi="Arial"/>
        </w:rPr>
        <w:t>Valora tus propios aprendizajes de acuerdo con la siguiente ponderación</w:t>
      </w:r>
    </w:p>
    <w:p w:rsidR="00C4128F" w:rsidRDefault="0030119F" w:rsidP="0030119F">
      <w:pPr>
        <w:shd w:val="clear" w:color="auto" w:fill="FFFFFF"/>
        <w:spacing w:before="120" w:after="120"/>
        <w:ind w:left="284" w:hanging="284"/>
        <w:jc w:val="both"/>
        <w:rPr>
          <w:rFonts w:ascii="Arial" w:hAnsi="Arial"/>
        </w:rPr>
      </w:pPr>
      <w:r w:rsidRPr="002B5186">
        <w:rPr>
          <w:rFonts w:ascii="Arial" w:hAnsi="Arial"/>
          <w:b/>
          <w:bCs/>
        </w:rPr>
        <w:t>3.</w:t>
      </w:r>
      <w:r>
        <w:rPr>
          <w:rFonts w:ascii="Arial" w:hAnsi="Arial"/>
        </w:rPr>
        <w:t xml:space="preserve"> Sé ampliamente del tema o asunto. / Me ha interesado sin que formen parte de esta asignatura o de otro programa de estudio. </w:t>
      </w:r>
    </w:p>
    <w:p w:rsidR="0030119F" w:rsidRDefault="0030119F" w:rsidP="0030119F">
      <w:pPr>
        <w:shd w:val="clear" w:color="auto" w:fill="FFFFFF"/>
        <w:spacing w:before="120" w:after="120"/>
        <w:ind w:left="284" w:hanging="284"/>
        <w:jc w:val="both"/>
        <w:rPr>
          <w:rFonts w:ascii="Arial" w:hAnsi="Arial"/>
        </w:rPr>
      </w:pPr>
      <w:r w:rsidRPr="002B5186">
        <w:rPr>
          <w:rFonts w:ascii="Arial" w:hAnsi="Arial"/>
          <w:b/>
          <w:bCs/>
        </w:rPr>
        <w:t>2.</w:t>
      </w:r>
      <w:r>
        <w:rPr>
          <w:rFonts w:ascii="Arial" w:hAnsi="Arial"/>
        </w:rPr>
        <w:t xml:space="preserve"> Debo mejorar mi aprendizaje, pues manejo apenas el 50%</w:t>
      </w:r>
      <w:r w:rsidR="00D016BA">
        <w:rPr>
          <w:rFonts w:ascii="Arial" w:hAnsi="Arial"/>
        </w:rPr>
        <w:t>, o menos,</w:t>
      </w:r>
      <w:r>
        <w:rPr>
          <w:rFonts w:ascii="Arial" w:hAnsi="Arial"/>
        </w:rPr>
        <w:t xml:space="preserve"> del tema o asunto. / Me interesan </w:t>
      </w:r>
      <w:r w:rsidR="00A32225">
        <w:rPr>
          <w:rFonts w:ascii="Arial" w:hAnsi="Arial"/>
        </w:rPr>
        <w:t xml:space="preserve">más </w:t>
      </w:r>
      <w:r>
        <w:rPr>
          <w:rFonts w:ascii="Arial" w:hAnsi="Arial"/>
        </w:rPr>
        <w:t>algunos aspectos</w:t>
      </w:r>
      <w:r w:rsidR="00A32225">
        <w:rPr>
          <w:rFonts w:ascii="Arial" w:hAnsi="Arial"/>
        </w:rPr>
        <w:t xml:space="preserve"> que otros.</w:t>
      </w:r>
    </w:p>
    <w:p w:rsidR="0030119F" w:rsidRDefault="0030119F" w:rsidP="0030119F">
      <w:pPr>
        <w:shd w:val="clear" w:color="auto" w:fill="FFFFFF"/>
        <w:spacing w:before="120" w:after="120"/>
        <w:ind w:left="284" w:hanging="284"/>
        <w:jc w:val="both"/>
        <w:rPr>
          <w:rFonts w:ascii="Arial" w:hAnsi="Arial"/>
        </w:rPr>
      </w:pPr>
      <w:r w:rsidRPr="002B5186">
        <w:rPr>
          <w:rFonts w:ascii="Arial" w:hAnsi="Arial"/>
          <w:b/>
          <w:bCs/>
        </w:rPr>
        <w:t>1.</w:t>
      </w:r>
      <w:r>
        <w:rPr>
          <w:rFonts w:ascii="Arial" w:hAnsi="Arial"/>
        </w:rPr>
        <w:t xml:space="preserve"> Tendré que estudiar los contenidos, pues no tengo </w:t>
      </w:r>
      <w:r w:rsidR="00A32225">
        <w:rPr>
          <w:rFonts w:ascii="Arial" w:hAnsi="Arial"/>
        </w:rPr>
        <w:t xml:space="preserve">ninguna </w:t>
      </w:r>
      <w:r>
        <w:rPr>
          <w:rFonts w:ascii="Arial" w:hAnsi="Arial"/>
        </w:rPr>
        <w:t xml:space="preserve">idea del tema o asunto. / No estoy seguro de que me interesen. </w:t>
      </w:r>
    </w:p>
    <w:p w:rsidR="0030119F" w:rsidRDefault="0030119F" w:rsidP="0030119F">
      <w:pPr>
        <w:shd w:val="clear" w:color="auto" w:fill="FFFFFF"/>
        <w:spacing w:before="120" w:after="120"/>
        <w:ind w:left="284" w:hanging="284"/>
        <w:jc w:val="both"/>
        <w:rPr>
          <w:rFonts w:ascii="Arial" w:hAnsi="Arial"/>
        </w:rPr>
      </w:pPr>
      <w:bookmarkStart w:id="0" w:name="_GoBack"/>
      <w:r w:rsidRPr="002B5186">
        <w:rPr>
          <w:rFonts w:ascii="Arial" w:hAnsi="Arial"/>
          <w:b/>
          <w:bCs/>
        </w:rPr>
        <w:t>0.</w:t>
      </w:r>
      <w:r>
        <w:rPr>
          <w:rFonts w:ascii="Arial" w:hAnsi="Arial"/>
        </w:rPr>
        <w:t xml:space="preserve"> </w:t>
      </w:r>
      <w:bookmarkEnd w:id="0"/>
      <w:r>
        <w:rPr>
          <w:rFonts w:ascii="Arial" w:hAnsi="Arial"/>
        </w:rPr>
        <w:t>No me interesa conocer nada sobre el tema / Me da igual / No creo que me sea útil en mi formación</w:t>
      </w:r>
    </w:p>
    <w:p w:rsidR="0030119F" w:rsidRDefault="0030119F" w:rsidP="00C4128F">
      <w:pPr>
        <w:shd w:val="clear" w:color="auto" w:fill="FFFFFF"/>
        <w:spacing w:before="120" w:after="120"/>
        <w:jc w:val="both"/>
        <w:rPr>
          <w:rFonts w:ascii="Arial" w:hAnsi="Arial"/>
        </w:r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7084"/>
        <w:gridCol w:w="436"/>
        <w:gridCol w:w="436"/>
        <w:gridCol w:w="436"/>
        <w:gridCol w:w="436"/>
      </w:tblGrid>
      <w:tr w:rsidR="0030119F" w:rsidRPr="00860CEC" w:rsidTr="00D016BA">
        <w:trPr>
          <w:trHeight w:val="1179"/>
        </w:trPr>
        <w:tc>
          <w:tcPr>
            <w:tcW w:w="4012" w:type="pct"/>
            <w:shd w:val="clear" w:color="auto" w:fill="FFC000" w:themeFill="accent4"/>
            <w:tcMar>
              <w:left w:w="57" w:type="dxa"/>
              <w:right w:w="57" w:type="dxa"/>
            </w:tcMar>
            <w:vAlign w:val="center"/>
          </w:tcPr>
          <w:p w:rsidR="0030119F" w:rsidRPr="008716FA" w:rsidRDefault="0030119F" w:rsidP="006D04FC">
            <w:pPr>
              <w:contextualSpacing/>
              <w:rPr>
                <w:rFonts w:ascii="Arial" w:hAnsi="Arial" w:cs="Arial"/>
                <w:b/>
                <w:spacing w:val="2"/>
              </w:rPr>
            </w:pPr>
            <w:r w:rsidRPr="008716FA">
              <w:rPr>
                <w:rFonts w:ascii="Arial" w:hAnsi="Arial" w:cs="Arial"/>
                <w:b/>
                <w:spacing w:val="2"/>
              </w:rPr>
              <w:t xml:space="preserve">Acerca del tema </w:t>
            </w:r>
            <w:r w:rsidRPr="00375A4B">
              <w:rPr>
                <w:rFonts w:ascii="Arial" w:hAnsi="Arial" w:cs="Arial"/>
                <w:b/>
              </w:rPr>
              <w:t>4.1 El desarrollo del pensamiento científico, el ámbito religioso y las instituciones educativas en la formación cultural</w:t>
            </w:r>
            <w:r>
              <w:rPr>
                <w:rFonts w:ascii="Arial" w:hAnsi="Arial" w:cs="Arial"/>
                <w:b/>
              </w:rPr>
              <w:t xml:space="preserve">, </w:t>
            </w:r>
            <w:r w:rsidRPr="008716FA">
              <w:rPr>
                <w:rFonts w:ascii="Arial" w:hAnsi="Arial" w:cs="Arial"/>
                <w:b/>
                <w:spacing w:val="2"/>
              </w:rPr>
              <w:t>logré . . .</w:t>
            </w:r>
          </w:p>
        </w:tc>
        <w:tc>
          <w:tcPr>
            <w:tcW w:w="247" w:type="pct"/>
            <w:shd w:val="clear" w:color="auto" w:fill="FFC000" w:themeFill="accent4"/>
            <w:tcMar>
              <w:left w:w="57" w:type="dxa"/>
              <w:right w:w="57" w:type="dxa"/>
            </w:tcMar>
          </w:tcPr>
          <w:p w:rsidR="0030119F" w:rsidRPr="0030119F" w:rsidRDefault="0030119F" w:rsidP="006D04FC">
            <w:pPr>
              <w:ind w:left="-58"/>
              <w:contextualSpacing/>
              <w:jc w:val="center"/>
              <w:rPr>
                <w:rFonts w:ascii="Arial" w:hAnsi="Arial" w:cs="Arial"/>
                <w:b/>
                <w:bCs/>
                <w:spacing w:val="2"/>
              </w:rPr>
            </w:pPr>
            <w:r w:rsidRPr="0030119F">
              <w:rPr>
                <w:rFonts w:ascii="Arial" w:hAnsi="Arial" w:cs="Arial"/>
                <w:b/>
                <w:bCs/>
                <w:spacing w:val="2"/>
              </w:rPr>
              <w:t>3</w:t>
            </w:r>
          </w:p>
        </w:tc>
        <w:tc>
          <w:tcPr>
            <w:tcW w:w="247" w:type="pct"/>
            <w:shd w:val="clear" w:color="auto" w:fill="FFC000" w:themeFill="accent4"/>
            <w:tcMar>
              <w:left w:w="57" w:type="dxa"/>
              <w:right w:w="57" w:type="dxa"/>
            </w:tcMar>
          </w:tcPr>
          <w:p w:rsidR="0030119F" w:rsidRPr="0030119F" w:rsidRDefault="0030119F" w:rsidP="006D04FC">
            <w:pPr>
              <w:contextualSpacing/>
              <w:jc w:val="center"/>
              <w:rPr>
                <w:rFonts w:ascii="Arial" w:hAnsi="Arial" w:cs="Arial"/>
                <w:b/>
                <w:bCs/>
                <w:spacing w:val="2"/>
              </w:rPr>
            </w:pPr>
            <w:r w:rsidRPr="0030119F">
              <w:rPr>
                <w:rFonts w:ascii="Arial" w:hAnsi="Arial" w:cs="Arial"/>
                <w:b/>
                <w:bCs/>
                <w:spacing w:val="2"/>
              </w:rPr>
              <w:t>2</w:t>
            </w:r>
          </w:p>
        </w:tc>
        <w:tc>
          <w:tcPr>
            <w:tcW w:w="247" w:type="pct"/>
            <w:shd w:val="clear" w:color="auto" w:fill="FFC000" w:themeFill="accent4"/>
            <w:tcMar>
              <w:left w:w="57" w:type="dxa"/>
              <w:right w:w="57" w:type="dxa"/>
            </w:tcMar>
          </w:tcPr>
          <w:p w:rsidR="0030119F" w:rsidRPr="0030119F" w:rsidRDefault="0030119F" w:rsidP="006D04FC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30119F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47" w:type="pct"/>
            <w:shd w:val="clear" w:color="auto" w:fill="FFC000" w:themeFill="accent4"/>
          </w:tcPr>
          <w:p w:rsidR="0030119F" w:rsidRPr="0030119F" w:rsidRDefault="0030119F" w:rsidP="006D04FC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30119F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30119F" w:rsidRPr="008716FA" w:rsidTr="00D016BA">
        <w:trPr>
          <w:trHeight w:val="935"/>
        </w:trPr>
        <w:tc>
          <w:tcPr>
            <w:tcW w:w="4012" w:type="pct"/>
          </w:tcPr>
          <w:p w:rsidR="0030119F" w:rsidRPr="00614C99" w:rsidRDefault="0030119F" w:rsidP="00C4128F">
            <w:pPr>
              <w:pStyle w:val="font7"/>
              <w:numPr>
                <w:ilvl w:val="0"/>
                <w:numId w:val="1"/>
              </w:numPr>
              <w:snapToGrid w:val="0"/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 w:rsidRPr="00375A4B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Deducir el papel de la Iglesia novohispana en el desarrollo </w:t>
            </w:r>
            <w:r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del ámbito religioso </w:t>
            </w:r>
            <w:r w:rsidRPr="00375A4B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y </w:t>
            </w:r>
            <w:r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en </w:t>
            </w:r>
            <w:r w:rsidRPr="00375A4B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la difusión de</w:t>
            </w:r>
            <w:r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l conocimiento a través de los colegios religiosos</w:t>
            </w:r>
            <w:r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, principalmente los de los jesuitas. </w:t>
            </w:r>
          </w:p>
        </w:tc>
        <w:tc>
          <w:tcPr>
            <w:tcW w:w="247" w:type="pct"/>
          </w:tcPr>
          <w:p w:rsidR="0030119F" w:rsidRPr="008716FA" w:rsidRDefault="0030119F" w:rsidP="006D04FC">
            <w:pPr>
              <w:ind w:left="480"/>
              <w:contextualSpacing/>
              <w:jc w:val="both"/>
              <w:rPr>
                <w:rFonts w:ascii="Arial" w:hAnsi="Arial" w:cs="Arial"/>
                <w:spacing w:val="2"/>
              </w:rPr>
            </w:pPr>
          </w:p>
        </w:tc>
        <w:tc>
          <w:tcPr>
            <w:tcW w:w="247" w:type="pct"/>
          </w:tcPr>
          <w:p w:rsidR="0030119F" w:rsidRPr="008716FA" w:rsidRDefault="0030119F" w:rsidP="006D04FC">
            <w:pPr>
              <w:ind w:left="480"/>
              <w:contextualSpacing/>
              <w:jc w:val="both"/>
              <w:rPr>
                <w:rFonts w:ascii="Arial" w:hAnsi="Arial" w:cs="Arial"/>
                <w:spacing w:val="2"/>
              </w:rPr>
            </w:pPr>
          </w:p>
        </w:tc>
        <w:tc>
          <w:tcPr>
            <w:tcW w:w="247" w:type="pct"/>
          </w:tcPr>
          <w:p w:rsidR="0030119F" w:rsidRPr="008716FA" w:rsidRDefault="0030119F" w:rsidP="006D04FC">
            <w:pPr>
              <w:ind w:left="480"/>
              <w:contextualSpacing/>
              <w:jc w:val="both"/>
              <w:rPr>
                <w:rFonts w:ascii="Arial" w:hAnsi="Arial" w:cs="Arial"/>
                <w:spacing w:val="2"/>
              </w:rPr>
            </w:pPr>
          </w:p>
        </w:tc>
        <w:tc>
          <w:tcPr>
            <w:tcW w:w="247" w:type="pct"/>
          </w:tcPr>
          <w:p w:rsidR="0030119F" w:rsidRPr="008716FA" w:rsidRDefault="0030119F" w:rsidP="006D04FC">
            <w:pPr>
              <w:ind w:left="480"/>
              <w:contextualSpacing/>
              <w:jc w:val="both"/>
              <w:rPr>
                <w:rFonts w:ascii="Arial" w:hAnsi="Arial" w:cs="Arial"/>
                <w:spacing w:val="2"/>
              </w:rPr>
            </w:pPr>
          </w:p>
        </w:tc>
      </w:tr>
      <w:tr w:rsidR="0030119F" w:rsidRPr="008716FA" w:rsidTr="0030119F">
        <w:tc>
          <w:tcPr>
            <w:tcW w:w="4012" w:type="pct"/>
          </w:tcPr>
          <w:p w:rsidR="0030119F" w:rsidRPr="0027049C" w:rsidRDefault="0030119F" w:rsidP="00C4128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pacing w:val="2"/>
              </w:rPr>
            </w:pPr>
            <w:r w:rsidRPr="00375A4B">
              <w:rPr>
                <w:rFonts w:ascii="Arial" w:hAnsi="Arial" w:cs="Arial"/>
                <w:bdr w:val="none" w:sz="0" w:space="0" w:color="auto" w:frame="1"/>
              </w:rPr>
              <w:t xml:space="preserve">Identificar los factores que dieron lugar a la educación laica, la secularización </w:t>
            </w:r>
            <w:r>
              <w:rPr>
                <w:rFonts w:ascii="Arial" w:hAnsi="Arial" w:cs="Arial"/>
                <w:bdr w:val="none" w:sz="0" w:space="0" w:color="auto" w:frame="1"/>
              </w:rPr>
              <w:t>del conocimiento</w:t>
            </w:r>
            <w:r w:rsidRPr="00375A4B">
              <w:rPr>
                <w:rFonts w:ascii="Arial" w:hAnsi="Arial" w:cs="Arial"/>
                <w:bdr w:val="none" w:sz="0" w:space="0" w:color="auto" w:frame="1"/>
              </w:rPr>
              <w:t xml:space="preserve"> y el impulso al pensamiento científico</w:t>
            </w:r>
            <w:r>
              <w:rPr>
                <w:rFonts w:ascii="Arial" w:hAnsi="Arial" w:cs="Arial"/>
                <w:bdr w:val="none" w:sz="0" w:space="0" w:color="auto" w:frame="1"/>
              </w:rPr>
              <w:t xml:space="preserve"> durante el siglo XIX</w:t>
            </w:r>
            <w:r w:rsidRPr="00375A4B">
              <w:rPr>
                <w:rFonts w:ascii="Arial" w:hAnsi="Arial" w:cs="Arial"/>
                <w:bdr w:val="none" w:sz="0" w:space="0" w:color="auto" w:frame="1"/>
              </w:rPr>
              <w:t>, en contraste con la educación</w:t>
            </w:r>
            <w:r>
              <w:rPr>
                <w:rFonts w:ascii="Arial" w:hAnsi="Arial" w:cs="Arial"/>
                <w:bdr w:val="none" w:sz="0" w:space="0" w:color="auto" w:frame="1"/>
              </w:rPr>
              <w:t>.</w:t>
            </w:r>
            <w:r w:rsidRPr="00375A4B">
              <w:rPr>
                <w:rFonts w:ascii="Arial" w:hAnsi="Arial" w:cs="Arial"/>
                <w:bdr w:val="none" w:sz="0" w:space="0" w:color="auto" w:frame="1"/>
              </w:rPr>
              <w:t xml:space="preserve"> la religiosidad novohispana</w:t>
            </w:r>
            <w:r>
              <w:rPr>
                <w:rFonts w:ascii="Arial" w:hAnsi="Arial" w:cs="Arial"/>
                <w:bdr w:val="none" w:sz="0" w:space="0" w:color="auto" w:frame="1"/>
              </w:rPr>
              <w:t xml:space="preserve"> y el papel de la Iglesia en ese ámbito.</w:t>
            </w:r>
          </w:p>
        </w:tc>
        <w:tc>
          <w:tcPr>
            <w:tcW w:w="247" w:type="pct"/>
          </w:tcPr>
          <w:p w:rsidR="0030119F" w:rsidRPr="008716FA" w:rsidRDefault="0030119F" w:rsidP="006D04FC">
            <w:pPr>
              <w:ind w:left="480"/>
              <w:contextualSpacing/>
              <w:jc w:val="both"/>
              <w:rPr>
                <w:rFonts w:ascii="Arial" w:hAnsi="Arial" w:cs="Arial"/>
                <w:spacing w:val="2"/>
              </w:rPr>
            </w:pPr>
          </w:p>
        </w:tc>
        <w:tc>
          <w:tcPr>
            <w:tcW w:w="247" w:type="pct"/>
          </w:tcPr>
          <w:p w:rsidR="0030119F" w:rsidRPr="008716FA" w:rsidRDefault="0030119F" w:rsidP="006D04FC">
            <w:pPr>
              <w:ind w:left="480"/>
              <w:contextualSpacing/>
              <w:jc w:val="both"/>
              <w:rPr>
                <w:rFonts w:ascii="Arial" w:hAnsi="Arial" w:cs="Arial"/>
                <w:spacing w:val="2"/>
              </w:rPr>
            </w:pPr>
          </w:p>
        </w:tc>
        <w:tc>
          <w:tcPr>
            <w:tcW w:w="247" w:type="pct"/>
          </w:tcPr>
          <w:p w:rsidR="0030119F" w:rsidRPr="008716FA" w:rsidRDefault="0030119F" w:rsidP="006D04FC">
            <w:pPr>
              <w:ind w:left="480"/>
              <w:contextualSpacing/>
              <w:jc w:val="both"/>
              <w:rPr>
                <w:rFonts w:ascii="Arial" w:hAnsi="Arial" w:cs="Arial"/>
                <w:spacing w:val="2"/>
              </w:rPr>
            </w:pPr>
          </w:p>
        </w:tc>
        <w:tc>
          <w:tcPr>
            <w:tcW w:w="247" w:type="pct"/>
          </w:tcPr>
          <w:p w:rsidR="0030119F" w:rsidRPr="008716FA" w:rsidRDefault="0030119F" w:rsidP="006D04FC">
            <w:pPr>
              <w:ind w:left="480"/>
              <w:contextualSpacing/>
              <w:jc w:val="both"/>
              <w:rPr>
                <w:rFonts w:ascii="Arial" w:hAnsi="Arial" w:cs="Arial"/>
                <w:spacing w:val="2"/>
              </w:rPr>
            </w:pPr>
          </w:p>
        </w:tc>
      </w:tr>
      <w:tr w:rsidR="0030119F" w:rsidRPr="008716FA" w:rsidTr="0030119F">
        <w:tc>
          <w:tcPr>
            <w:tcW w:w="4012" w:type="pct"/>
          </w:tcPr>
          <w:p w:rsidR="0030119F" w:rsidRPr="00614C99" w:rsidRDefault="0030119F" w:rsidP="00C4128F">
            <w:pPr>
              <w:pStyle w:val="font7"/>
              <w:numPr>
                <w:ilvl w:val="0"/>
                <w:numId w:val="1"/>
              </w:numPr>
              <w:snapToGrid w:val="0"/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Reconocer el papel y la importancia </w:t>
            </w:r>
            <w:r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histórica </w:t>
            </w:r>
            <w:r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de las instituciones educativas y las sociedades científicas y escuelas del siglo XIX, </w:t>
            </w:r>
            <w:r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incluida la </w:t>
            </w:r>
            <w:r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Escuela Nacional Preparatoria. </w:t>
            </w:r>
          </w:p>
        </w:tc>
        <w:tc>
          <w:tcPr>
            <w:tcW w:w="247" w:type="pct"/>
          </w:tcPr>
          <w:p w:rsidR="0030119F" w:rsidRPr="008716FA" w:rsidRDefault="0030119F" w:rsidP="006D04FC">
            <w:pPr>
              <w:ind w:left="480"/>
              <w:contextualSpacing/>
              <w:jc w:val="both"/>
              <w:rPr>
                <w:rFonts w:ascii="Arial" w:hAnsi="Arial" w:cs="Arial"/>
                <w:spacing w:val="2"/>
              </w:rPr>
            </w:pPr>
          </w:p>
        </w:tc>
        <w:tc>
          <w:tcPr>
            <w:tcW w:w="247" w:type="pct"/>
          </w:tcPr>
          <w:p w:rsidR="0030119F" w:rsidRPr="008716FA" w:rsidRDefault="0030119F" w:rsidP="006D04FC">
            <w:pPr>
              <w:ind w:left="480"/>
              <w:contextualSpacing/>
              <w:jc w:val="both"/>
              <w:rPr>
                <w:rFonts w:ascii="Arial" w:hAnsi="Arial" w:cs="Arial"/>
                <w:spacing w:val="2"/>
              </w:rPr>
            </w:pPr>
          </w:p>
        </w:tc>
        <w:tc>
          <w:tcPr>
            <w:tcW w:w="247" w:type="pct"/>
          </w:tcPr>
          <w:p w:rsidR="0030119F" w:rsidRPr="008716FA" w:rsidRDefault="0030119F" w:rsidP="006D04FC">
            <w:pPr>
              <w:ind w:left="480"/>
              <w:contextualSpacing/>
              <w:jc w:val="both"/>
              <w:rPr>
                <w:rFonts w:ascii="Arial" w:hAnsi="Arial" w:cs="Arial"/>
                <w:spacing w:val="2"/>
              </w:rPr>
            </w:pPr>
          </w:p>
        </w:tc>
        <w:tc>
          <w:tcPr>
            <w:tcW w:w="247" w:type="pct"/>
          </w:tcPr>
          <w:p w:rsidR="0030119F" w:rsidRPr="008716FA" w:rsidRDefault="0030119F" w:rsidP="006D04FC">
            <w:pPr>
              <w:ind w:left="480"/>
              <w:contextualSpacing/>
              <w:jc w:val="both"/>
              <w:rPr>
                <w:rFonts w:ascii="Arial" w:hAnsi="Arial" w:cs="Arial"/>
                <w:spacing w:val="2"/>
              </w:rPr>
            </w:pPr>
          </w:p>
        </w:tc>
      </w:tr>
      <w:tr w:rsidR="0030119F" w:rsidRPr="008716FA" w:rsidTr="00D016BA">
        <w:trPr>
          <w:trHeight w:val="961"/>
        </w:trPr>
        <w:tc>
          <w:tcPr>
            <w:tcW w:w="4012" w:type="pct"/>
          </w:tcPr>
          <w:p w:rsidR="0030119F" w:rsidRPr="00BE6705" w:rsidRDefault="0030119F" w:rsidP="00C4128F">
            <w:pPr>
              <w:pStyle w:val="font7"/>
              <w:numPr>
                <w:ilvl w:val="0"/>
                <w:numId w:val="1"/>
              </w:numPr>
              <w:snapToGrid w:val="0"/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 w:rsidRPr="003968E7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Relacionar el proceso de especialización del conocimiento y la interdisciplina con el carácter que tiene el desarrollo científico y la educación en el contexto de la globalización. </w:t>
            </w:r>
          </w:p>
        </w:tc>
        <w:tc>
          <w:tcPr>
            <w:tcW w:w="247" w:type="pct"/>
          </w:tcPr>
          <w:p w:rsidR="0030119F" w:rsidRPr="008716FA" w:rsidRDefault="0030119F" w:rsidP="006D04FC">
            <w:pPr>
              <w:ind w:left="480"/>
              <w:contextualSpacing/>
              <w:jc w:val="both"/>
              <w:rPr>
                <w:rFonts w:ascii="Arial" w:hAnsi="Arial" w:cs="Arial"/>
                <w:spacing w:val="2"/>
              </w:rPr>
            </w:pPr>
          </w:p>
        </w:tc>
        <w:tc>
          <w:tcPr>
            <w:tcW w:w="247" w:type="pct"/>
          </w:tcPr>
          <w:p w:rsidR="0030119F" w:rsidRPr="008716FA" w:rsidRDefault="0030119F" w:rsidP="006D04FC">
            <w:pPr>
              <w:ind w:left="480"/>
              <w:contextualSpacing/>
              <w:jc w:val="both"/>
              <w:rPr>
                <w:rFonts w:ascii="Arial" w:hAnsi="Arial" w:cs="Arial"/>
                <w:spacing w:val="2"/>
              </w:rPr>
            </w:pPr>
          </w:p>
        </w:tc>
        <w:tc>
          <w:tcPr>
            <w:tcW w:w="247" w:type="pct"/>
          </w:tcPr>
          <w:p w:rsidR="0030119F" w:rsidRPr="008716FA" w:rsidRDefault="0030119F" w:rsidP="006D04FC">
            <w:pPr>
              <w:ind w:left="480"/>
              <w:contextualSpacing/>
              <w:jc w:val="both"/>
              <w:rPr>
                <w:rFonts w:ascii="Arial" w:hAnsi="Arial" w:cs="Arial"/>
                <w:spacing w:val="2"/>
              </w:rPr>
            </w:pPr>
          </w:p>
        </w:tc>
        <w:tc>
          <w:tcPr>
            <w:tcW w:w="247" w:type="pct"/>
          </w:tcPr>
          <w:p w:rsidR="0030119F" w:rsidRPr="008716FA" w:rsidRDefault="0030119F" w:rsidP="006D04FC">
            <w:pPr>
              <w:ind w:left="480"/>
              <w:contextualSpacing/>
              <w:jc w:val="both"/>
              <w:rPr>
                <w:rFonts w:ascii="Arial" w:hAnsi="Arial" w:cs="Arial"/>
                <w:spacing w:val="2"/>
              </w:rPr>
            </w:pPr>
          </w:p>
        </w:tc>
      </w:tr>
      <w:tr w:rsidR="0030119F" w:rsidRPr="008716FA" w:rsidTr="0030119F">
        <w:tc>
          <w:tcPr>
            <w:tcW w:w="4012" w:type="pct"/>
          </w:tcPr>
          <w:p w:rsidR="0030119F" w:rsidRPr="00BE6705" w:rsidRDefault="0030119F" w:rsidP="00C4128F">
            <w:pPr>
              <w:pStyle w:val="font7"/>
              <w:numPr>
                <w:ilvl w:val="0"/>
                <w:numId w:val="1"/>
              </w:numPr>
              <w:snapToGrid w:val="0"/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Valorar con sustento </w:t>
            </w:r>
            <w:r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la confrontación</w:t>
            </w:r>
            <w:r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entre</w:t>
            </w:r>
            <w:r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el pensamiento científico,</w:t>
            </w:r>
            <w:r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968E7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la libertad de conciencia </w:t>
            </w:r>
            <w:r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y </w:t>
            </w:r>
            <w:r w:rsidRPr="003968E7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las formas conservadoras </w:t>
            </w:r>
            <w:r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o</w:t>
            </w:r>
            <w:r w:rsidRPr="003968E7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tradicionales </w:t>
            </w:r>
            <w:r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y religiosas </w:t>
            </w:r>
            <w:r w:rsidRPr="003968E7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de pensamiento en el México actual. </w:t>
            </w:r>
          </w:p>
        </w:tc>
        <w:tc>
          <w:tcPr>
            <w:tcW w:w="247" w:type="pct"/>
          </w:tcPr>
          <w:p w:rsidR="0030119F" w:rsidRPr="008716FA" w:rsidRDefault="0030119F" w:rsidP="006D04FC">
            <w:pPr>
              <w:ind w:left="480"/>
              <w:contextualSpacing/>
              <w:jc w:val="both"/>
              <w:rPr>
                <w:rFonts w:ascii="Arial" w:hAnsi="Arial" w:cs="Arial"/>
                <w:spacing w:val="2"/>
              </w:rPr>
            </w:pPr>
          </w:p>
        </w:tc>
        <w:tc>
          <w:tcPr>
            <w:tcW w:w="247" w:type="pct"/>
          </w:tcPr>
          <w:p w:rsidR="0030119F" w:rsidRPr="008716FA" w:rsidRDefault="0030119F" w:rsidP="006D04FC">
            <w:pPr>
              <w:ind w:left="480"/>
              <w:contextualSpacing/>
              <w:jc w:val="both"/>
              <w:rPr>
                <w:rFonts w:ascii="Arial" w:hAnsi="Arial" w:cs="Arial"/>
                <w:spacing w:val="2"/>
              </w:rPr>
            </w:pPr>
          </w:p>
        </w:tc>
        <w:tc>
          <w:tcPr>
            <w:tcW w:w="247" w:type="pct"/>
          </w:tcPr>
          <w:p w:rsidR="0030119F" w:rsidRPr="008716FA" w:rsidRDefault="0030119F" w:rsidP="006D04FC">
            <w:pPr>
              <w:ind w:left="480"/>
              <w:contextualSpacing/>
              <w:jc w:val="both"/>
              <w:rPr>
                <w:rFonts w:ascii="Arial" w:hAnsi="Arial" w:cs="Arial"/>
                <w:spacing w:val="2"/>
              </w:rPr>
            </w:pPr>
          </w:p>
        </w:tc>
        <w:tc>
          <w:tcPr>
            <w:tcW w:w="247" w:type="pct"/>
          </w:tcPr>
          <w:p w:rsidR="0030119F" w:rsidRPr="008716FA" w:rsidRDefault="0030119F" w:rsidP="006D04FC">
            <w:pPr>
              <w:ind w:left="480"/>
              <w:contextualSpacing/>
              <w:jc w:val="both"/>
              <w:rPr>
                <w:rFonts w:ascii="Arial" w:hAnsi="Arial" w:cs="Arial"/>
                <w:spacing w:val="2"/>
              </w:rPr>
            </w:pPr>
          </w:p>
        </w:tc>
      </w:tr>
      <w:tr w:rsidR="0030119F" w:rsidRPr="008716FA" w:rsidTr="00D016BA">
        <w:trPr>
          <w:trHeight w:val="773"/>
        </w:trPr>
        <w:tc>
          <w:tcPr>
            <w:tcW w:w="4012" w:type="pct"/>
          </w:tcPr>
          <w:p w:rsidR="0030119F" w:rsidRPr="00375A4B" w:rsidRDefault="0030119F" w:rsidP="00C4128F">
            <w:pPr>
              <w:pStyle w:val="Prrafodelista"/>
              <w:numPr>
                <w:ilvl w:val="0"/>
                <w:numId w:val="1"/>
              </w:numPr>
              <w:contextualSpacing w:val="0"/>
              <w:jc w:val="both"/>
              <w:rPr>
                <w:rFonts w:ascii="Arial" w:hAnsi="Arial" w:cs="Arial"/>
                <w:spacing w:val="2"/>
              </w:rPr>
            </w:pPr>
            <w:r w:rsidRPr="003968E7">
              <w:rPr>
                <w:rFonts w:ascii="Arial" w:hAnsi="Arial" w:cs="Arial"/>
              </w:rPr>
              <w:t>Seleccionar y organizar con rigor académico información procedente de distintos tipos de fuentes.</w:t>
            </w:r>
          </w:p>
        </w:tc>
        <w:tc>
          <w:tcPr>
            <w:tcW w:w="247" w:type="pct"/>
          </w:tcPr>
          <w:p w:rsidR="0030119F" w:rsidRPr="008716FA" w:rsidRDefault="0030119F" w:rsidP="006D04FC">
            <w:pPr>
              <w:ind w:left="480"/>
              <w:contextualSpacing/>
              <w:jc w:val="both"/>
              <w:rPr>
                <w:rFonts w:ascii="Arial" w:hAnsi="Arial" w:cs="Arial"/>
                <w:spacing w:val="2"/>
              </w:rPr>
            </w:pPr>
          </w:p>
        </w:tc>
        <w:tc>
          <w:tcPr>
            <w:tcW w:w="247" w:type="pct"/>
          </w:tcPr>
          <w:p w:rsidR="0030119F" w:rsidRPr="008716FA" w:rsidRDefault="0030119F" w:rsidP="006D04FC">
            <w:pPr>
              <w:ind w:left="480"/>
              <w:contextualSpacing/>
              <w:jc w:val="both"/>
              <w:rPr>
                <w:rFonts w:ascii="Arial" w:hAnsi="Arial" w:cs="Arial"/>
                <w:spacing w:val="2"/>
              </w:rPr>
            </w:pPr>
          </w:p>
        </w:tc>
        <w:tc>
          <w:tcPr>
            <w:tcW w:w="247" w:type="pct"/>
          </w:tcPr>
          <w:p w:rsidR="0030119F" w:rsidRPr="008716FA" w:rsidRDefault="0030119F" w:rsidP="006D04FC">
            <w:pPr>
              <w:ind w:left="480"/>
              <w:contextualSpacing/>
              <w:jc w:val="both"/>
              <w:rPr>
                <w:rFonts w:ascii="Arial" w:hAnsi="Arial" w:cs="Arial"/>
                <w:spacing w:val="2"/>
              </w:rPr>
            </w:pPr>
          </w:p>
        </w:tc>
        <w:tc>
          <w:tcPr>
            <w:tcW w:w="247" w:type="pct"/>
          </w:tcPr>
          <w:p w:rsidR="0030119F" w:rsidRPr="008716FA" w:rsidRDefault="0030119F" w:rsidP="006D04FC">
            <w:pPr>
              <w:ind w:left="480"/>
              <w:contextualSpacing/>
              <w:jc w:val="both"/>
              <w:rPr>
                <w:rFonts w:ascii="Arial" w:hAnsi="Arial" w:cs="Arial"/>
                <w:spacing w:val="2"/>
              </w:rPr>
            </w:pPr>
          </w:p>
        </w:tc>
      </w:tr>
      <w:tr w:rsidR="0030119F" w:rsidRPr="008716FA" w:rsidTr="00D016BA">
        <w:tc>
          <w:tcPr>
            <w:tcW w:w="4012" w:type="pct"/>
            <w:shd w:val="clear" w:color="auto" w:fill="FFC000" w:themeFill="accent4"/>
          </w:tcPr>
          <w:p w:rsidR="0030119F" w:rsidRPr="008716FA" w:rsidRDefault="0030119F" w:rsidP="0030119F">
            <w:pPr>
              <w:contextualSpacing/>
              <w:rPr>
                <w:rFonts w:ascii="Arial" w:hAnsi="Arial" w:cs="Arial"/>
                <w:b/>
                <w:spacing w:val="2"/>
              </w:rPr>
            </w:pPr>
            <w:r w:rsidRPr="008716FA">
              <w:rPr>
                <w:rFonts w:ascii="Arial" w:hAnsi="Arial" w:cs="Arial"/>
                <w:b/>
                <w:spacing w:val="2"/>
              </w:rPr>
              <w:t>Acerca del tema</w:t>
            </w:r>
            <w:r w:rsidRPr="00375A4B">
              <w:rPr>
                <w:rFonts w:ascii="Arial" w:hAnsi="Arial" w:cs="Arial"/>
                <w:b/>
                <w:spacing w:val="2"/>
              </w:rPr>
              <w:t xml:space="preserve"> 4.2 La formación de las identidades desde la aculturación y la interculturalidad</w:t>
            </w:r>
            <w:r w:rsidRPr="008716FA">
              <w:rPr>
                <w:rFonts w:ascii="Arial" w:hAnsi="Arial" w:cs="Arial"/>
                <w:b/>
                <w:spacing w:val="2"/>
              </w:rPr>
              <w:t>, logré . . .</w:t>
            </w:r>
          </w:p>
        </w:tc>
        <w:tc>
          <w:tcPr>
            <w:tcW w:w="247" w:type="pct"/>
            <w:shd w:val="clear" w:color="auto" w:fill="FFC000" w:themeFill="accent4"/>
            <w:tcMar>
              <w:left w:w="0" w:type="dxa"/>
              <w:right w:w="0" w:type="dxa"/>
            </w:tcMar>
          </w:tcPr>
          <w:p w:rsidR="0030119F" w:rsidRPr="0030119F" w:rsidRDefault="0030119F" w:rsidP="0030119F">
            <w:pPr>
              <w:ind w:left="-58"/>
              <w:contextualSpacing/>
              <w:jc w:val="center"/>
              <w:rPr>
                <w:rFonts w:ascii="Arial" w:hAnsi="Arial" w:cs="Arial"/>
                <w:b/>
                <w:bCs/>
                <w:spacing w:val="2"/>
              </w:rPr>
            </w:pPr>
            <w:r w:rsidRPr="0030119F">
              <w:rPr>
                <w:rFonts w:ascii="Arial" w:hAnsi="Arial" w:cs="Arial"/>
                <w:b/>
                <w:bCs/>
                <w:spacing w:val="2"/>
              </w:rPr>
              <w:t>3</w:t>
            </w:r>
          </w:p>
        </w:tc>
        <w:tc>
          <w:tcPr>
            <w:tcW w:w="247" w:type="pct"/>
            <w:shd w:val="clear" w:color="auto" w:fill="FFC000" w:themeFill="accent4"/>
            <w:tcMar>
              <w:left w:w="0" w:type="dxa"/>
              <w:right w:w="0" w:type="dxa"/>
            </w:tcMar>
          </w:tcPr>
          <w:p w:rsidR="0030119F" w:rsidRPr="0030119F" w:rsidRDefault="0030119F" w:rsidP="0030119F">
            <w:pPr>
              <w:contextualSpacing/>
              <w:jc w:val="center"/>
              <w:rPr>
                <w:rFonts w:ascii="Arial" w:hAnsi="Arial" w:cs="Arial"/>
                <w:b/>
                <w:bCs/>
                <w:spacing w:val="2"/>
              </w:rPr>
            </w:pPr>
            <w:r w:rsidRPr="0030119F">
              <w:rPr>
                <w:rFonts w:ascii="Arial" w:hAnsi="Arial" w:cs="Arial"/>
                <w:b/>
                <w:bCs/>
                <w:spacing w:val="2"/>
              </w:rPr>
              <w:t>2</w:t>
            </w:r>
          </w:p>
        </w:tc>
        <w:tc>
          <w:tcPr>
            <w:tcW w:w="247" w:type="pct"/>
            <w:shd w:val="clear" w:color="auto" w:fill="FFC000" w:themeFill="accent4"/>
            <w:tcMar>
              <w:left w:w="0" w:type="dxa"/>
              <w:right w:w="0" w:type="dxa"/>
            </w:tcMar>
          </w:tcPr>
          <w:p w:rsidR="0030119F" w:rsidRPr="0030119F" w:rsidRDefault="0030119F" w:rsidP="0030119F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30119F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47" w:type="pct"/>
            <w:shd w:val="clear" w:color="auto" w:fill="FFC000" w:themeFill="accent4"/>
          </w:tcPr>
          <w:p w:rsidR="0030119F" w:rsidRPr="0030119F" w:rsidRDefault="0030119F" w:rsidP="0030119F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30119F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30119F" w:rsidRPr="008716FA" w:rsidTr="0030119F">
        <w:tc>
          <w:tcPr>
            <w:tcW w:w="4012" w:type="pct"/>
          </w:tcPr>
          <w:p w:rsidR="0030119F" w:rsidRPr="00BE6705" w:rsidRDefault="0030119F" w:rsidP="00C4128F">
            <w:pPr>
              <w:pStyle w:val="font7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 w:rsidRPr="0097504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lastRenderedPageBreak/>
              <w:t>Identificar procesos de aculturación y de resistencia cultural novohispana en situaciones como las de la evangelización católica y el sincretismo religioso, la estructura familiar</w:t>
            </w:r>
            <w:r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y </w:t>
            </w:r>
            <w:r w:rsidRPr="0097504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la diversidad gastronómica en México</w:t>
            </w:r>
            <w:r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, principalmente</w:t>
            </w:r>
            <w:r w:rsidRPr="00BE6705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47" w:type="pct"/>
          </w:tcPr>
          <w:p w:rsidR="0030119F" w:rsidRPr="008716FA" w:rsidRDefault="0030119F" w:rsidP="006D04FC">
            <w:pPr>
              <w:ind w:left="480"/>
              <w:contextualSpacing/>
              <w:jc w:val="both"/>
              <w:rPr>
                <w:rFonts w:ascii="Arial" w:hAnsi="Arial" w:cs="Arial"/>
                <w:spacing w:val="2"/>
              </w:rPr>
            </w:pPr>
          </w:p>
        </w:tc>
        <w:tc>
          <w:tcPr>
            <w:tcW w:w="247" w:type="pct"/>
          </w:tcPr>
          <w:p w:rsidR="0030119F" w:rsidRPr="008716FA" w:rsidRDefault="0030119F" w:rsidP="006D04FC">
            <w:pPr>
              <w:ind w:left="480"/>
              <w:contextualSpacing/>
              <w:jc w:val="both"/>
              <w:rPr>
                <w:rFonts w:ascii="Arial" w:hAnsi="Arial" w:cs="Arial"/>
                <w:spacing w:val="2"/>
              </w:rPr>
            </w:pPr>
          </w:p>
        </w:tc>
        <w:tc>
          <w:tcPr>
            <w:tcW w:w="247" w:type="pct"/>
          </w:tcPr>
          <w:p w:rsidR="0030119F" w:rsidRPr="008716FA" w:rsidRDefault="0030119F" w:rsidP="006D04FC">
            <w:pPr>
              <w:ind w:left="480"/>
              <w:contextualSpacing/>
              <w:jc w:val="both"/>
              <w:rPr>
                <w:rFonts w:ascii="Arial" w:hAnsi="Arial" w:cs="Arial"/>
                <w:spacing w:val="2"/>
              </w:rPr>
            </w:pPr>
          </w:p>
        </w:tc>
        <w:tc>
          <w:tcPr>
            <w:tcW w:w="247" w:type="pct"/>
          </w:tcPr>
          <w:p w:rsidR="0030119F" w:rsidRPr="008716FA" w:rsidRDefault="0030119F" w:rsidP="006D04FC">
            <w:pPr>
              <w:ind w:left="480"/>
              <w:contextualSpacing/>
              <w:jc w:val="both"/>
              <w:rPr>
                <w:rFonts w:ascii="Arial" w:hAnsi="Arial" w:cs="Arial"/>
                <w:spacing w:val="2"/>
              </w:rPr>
            </w:pPr>
          </w:p>
        </w:tc>
      </w:tr>
      <w:tr w:rsidR="0030119F" w:rsidRPr="008716FA" w:rsidTr="0030119F">
        <w:tc>
          <w:tcPr>
            <w:tcW w:w="4012" w:type="pct"/>
          </w:tcPr>
          <w:p w:rsidR="0030119F" w:rsidRPr="00BE6705" w:rsidRDefault="0030119F" w:rsidP="00C4128F">
            <w:pPr>
              <w:pStyle w:val="font7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 w:rsidRPr="0097504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Explicar la confrontación de expresiones regionales frente a la cultura nacional: el caso de las visiones integracionistas del indígena en los siglos XIX y XX y el de las propuestas de autogestión.</w:t>
            </w:r>
          </w:p>
        </w:tc>
        <w:tc>
          <w:tcPr>
            <w:tcW w:w="247" w:type="pct"/>
          </w:tcPr>
          <w:p w:rsidR="0030119F" w:rsidRPr="008716FA" w:rsidRDefault="0030119F" w:rsidP="006D04FC">
            <w:pPr>
              <w:ind w:left="480"/>
              <w:contextualSpacing/>
              <w:jc w:val="both"/>
              <w:rPr>
                <w:rFonts w:ascii="Arial" w:hAnsi="Arial" w:cs="Arial"/>
                <w:spacing w:val="2"/>
              </w:rPr>
            </w:pPr>
          </w:p>
        </w:tc>
        <w:tc>
          <w:tcPr>
            <w:tcW w:w="247" w:type="pct"/>
          </w:tcPr>
          <w:p w:rsidR="0030119F" w:rsidRPr="008716FA" w:rsidRDefault="0030119F" w:rsidP="006D04FC">
            <w:pPr>
              <w:ind w:left="480"/>
              <w:contextualSpacing/>
              <w:jc w:val="both"/>
              <w:rPr>
                <w:rFonts w:ascii="Arial" w:hAnsi="Arial" w:cs="Arial"/>
                <w:spacing w:val="2"/>
              </w:rPr>
            </w:pPr>
          </w:p>
        </w:tc>
        <w:tc>
          <w:tcPr>
            <w:tcW w:w="247" w:type="pct"/>
          </w:tcPr>
          <w:p w:rsidR="0030119F" w:rsidRPr="008716FA" w:rsidRDefault="0030119F" w:rsidP="006D04FC">
            <w:pPr>
              <w:ind w:left="480"/>
              <w:contextualSpacing/>
              <w:jc w:val="both"/>
              <w:rPr>
                <w:rFonts w:ascii="Arial" w:hAnsi="Arial" w:cs="Arial"/>
                <w:spacing w:val="2"/>
              </w:rPr>
            </w:pPr>
          </w:p>
        </w:tc>
        <w:tc>
          <w:tcPr>
            <w:tcW w:w="247" w:type="pct"/>
          </w:tcPr>
          <w:p w:rsidR="0030119F" w:rsidRPr="008716FA" w:rsidRDefault="0030119F" w:rsidP="006D04FC">
            <w:pPr>
              <w:ind w:left="480"/>
              <w:contextualSpacing/>
              <w:jc w:val="both"/>
              <w:rPr>
                <w:rFonts w:ascii="Arial" w:hAnsi="Arial" w:cs="Arial"/>
                <w:spacing w:val="2"/>
              </w:rPr>
            </w:pPr>
          </w:p>
        </w:tc>
      </w:tr>
      <w:tr w:rsidR="0030119F" w:rsidRPr="008716FA" w:rsidTr="0030119F">
        <w:tc>
          <w:tcPr>
            <w:tcW w:w="4012" w:type="pct"/>
          </w:tcPr>
          <w:p w:rsidR="0030119F" w:rsidRPr="00D016BA" w:rsidRDefault="0030119F" w:rsidP="00C4128F">
            <w:pPr>
              <w:pStyle w:val="font7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 w:rsidRPr="00D016BA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Plantear los retos que las expresiones culturales globalizadas imponen sobre la continuidad de las identidades culturales mexicanas</w:t>
            </w:r>
            <w:r w:rsidRPr="00D016BA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, previa identificación de sus características e importancia para la cultura del país y la conservación de su</w:t>
            </w:r>
            <w:r w:rsidR="00D016BA" w:rsidRPr="00D016BA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s</w:t>
            </w:r>
            <w:r w:rsidRPr="00D016BA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lazos de unidad e identidad. </w:t>
            </w:r>
          </w:p>
        </w:tc>
        <w:tc>
          <w:tcPr>
            <w:tcW w:w="247" w:type="pct"/>
          </w:tcPr>
          <w:p w:rsidR="0030119F" w:rsidRPr="008716FA" w:rsidRDefault="0030119F" w:rsidP="006D04FC">
            <w:pPr>
              <w:ind w:left="480"/>
              <w:contextualSpacing/>
              <w:jc w:val="both"/>
              <w:rPr>
                <w:rFonts w:ascii="Arial" w:hAnsi="Arial" w:cs="Arial"/>
                <w:spacing w:val="2"/>
              </w:rPr>
            </w:pPr>
          </w:p>
        </w:tc>
        <w:tc>
          <w:tcPr>
            <w:tcW w:w="247" w:type="pct"/>
          </w:tcPr>
          <w:p w:rsidR="0030119F" w:rsidRPr="008716FA" w:rsidRDefault="0030119F" w:rsidP="006D04FC">
            <w:pPr>
              <w:ind w:left="480"/>
              <w:contextualSpacing/>
              <w:jc w:val="both"/>
              <w:rPr>
                <w:rFonts w:ascii="Arial" w:hAnsi="Arial" w:cs="Arial"/>
                <w:spacing w:val="2"/>
              </w:rPr>
            </w:pPr>
          </w:p>
        </w:tc>
        <w:tc>
          <w:tcPr>
            <w:tcW w:w="247" w:type="pct"/>
          </w:tcPr>
          <w:p w:rsidR="0030119F" w:rsidRPr="008716FA" w:rsidRDefault="0030119F" w:rsidP="006D04FC">
            <w:pPr>
              <w:ind w:left="480"/>
              <w:contextualSpacing/>
              <w:jc w:val="both"/>
              <w:rPr>
                <w:rFonts w:ascii="Arial" w:hAnsi="Arial" w:cs="Arial"/>
                <w:spacing w:val="2"/>
              </w:rPr>
            </w:pPr>
          </w:p>
        </w:tc>
        <w:tc>
          <w:tcPr>
            <w:tcW w:w="247" w:type="pct"/>
          </w:tcPr>
          <w:p w:rsidR="0030119F" w:rsidRPr="008716FA" w:rsidRDefault="0030119F" w:rsidP="006D04FC">
            <w:pPr>
              <w:ind w:left="480"/>
              <w:contextualSpacing/>
              <w:jc w:val="both"/>
              <w:rPr>
                <w:rFonts w:ascii="Arial" w:hAnsi="Arial" w:cs="Arial"/>
                <w:spacing w:val="2"/>
              </w:rPr>
            </w:pPr>
          </w:p>
        </w:tc>
      </w:tr>
      <w:tr w:rsidR="0030119F" w:rsidRPr="008716FA" w:rsidTr="0030119F">
        <w:tc>
          <w:tcPr>
            <w:tcW w:w="4012" w:type="pct"/>
          </w:tcPr>
          <w:p w:rsidR="0030119F" w:rsidRPr="00D016BA" w:rsidRDefault="0030119F" w:rsidP="00C4128F">
            <w:pPr>
              <w:pStyle w:val="font7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 w:rsidRPr="00D016BA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Evaluar la existencia, permanencia y transformación de las identidades regionales y nacional en relación con los procesos de aculturación, interculturalidad y resistencia cultural.</w:t>
            </w:r>
          </w:p>
        </w:tc>
        <w:tc>
          <w:tcPr>
            <w:tcW w:w="247" w:type="pct"/>
          </w:tcPr>
          <w:p w:rsidR="0030119F" w:rsidRPr="008716FA" w:rsidRDefault="0030119F" w:rsidP="006D04FC">
            <w:pPr>
              <w:ind w:left="480"/>
              <w:contextualSpacing/>
              <w:jc w:val="both"/>
              <w:rPr>
                <w:rFonts w:ascii="Arial" w:hAnsi="Arial" w:cs="Arial"/>
                <w:spacing w:val="2"/>
              </w:rPr>
            </w:pPr>
          </w:p>
        </w:tc>
        <w:tc>
          <w:tcPr>
            <w:tcW w:w="247" w:type="pct"/>
          </w:tcPr>
          <w:p w:rsidR="0030119F" w:rsidRPr="008716FA" w:rsidRDefault="0030119F" w:rsidP="006D04FC">
            <w:pPr>
              <w:ind w:left="480"/>
              <w:contextualSpacing/>
              <w:jc w:val="both"/>
              <w:rPr>
                <w:rFonts w:ascii="Arial" w:hAnsi="Arial" w:cs="Arial"/>
                <w:spacing w:val="2"/>
              </w:rPr>
            </w:pPr>
          </w:p>
        </w:tc>
        <w:tc>
          <w:tcPr>
            <w:tcW w:w="247" w:type="pct"/>
          </w:tcPr>
          <w:p w:rsidR="0030119F" w:rsidRPr="008716FA" w:rsidRDefault="0030119F" w:rsidP="006D04FC">
            <w:pPr>
              <w:ind w:left="480"/>
              <w:contextualSpacing/>
              <w:jc w:val="both"/>
              <w:rPr>
                <w:rFonts w:ascii="Arial" w:hAnsi="Arial" w:cs="Arial"/>
                <w:spacing w:val="2"/>
              </w:rPr>
            </w:pPr>
          </w:p>
        </w:tc>
        <w:tc>
          <w:tcPr>
            <w:tcW w:w="247" w:type="pct"/>
          </w:tcPr>
          <w:p w:rsidR="0030119F" w:rsidRPr="008716FA" w:rsidRDefault="0030119F" w:rsidP="006D04FC">
            <w:pPr>
              <w:ind w:left="480"/>
              <w:contextualSpacing/>
              <w:jc w:val="both"/>
              <w:rPr>
                <w:rFonts w:ascii="Arial" w:hAnsi="Arial" w:cs="Arial"/>
                <w:spacing w:val="2"/>
              </w:rPr>
            </w:pPr>
          </w:p>
        </w:tc>
      </w:tr>
      <w:tr w:rsidR="0030119F" w:rsidRPr="008716FA" w:rsidTr="00D016BA">
        <w:trPr>
          <w:trHeight w:val="771"/>
        </w:trPr>
        <w:tc>
          <w:tcPr>
            <w:tcW w:w="4012" w:type="pct"/>
          </w:tcPr>
          <w:p w:rsidR="0030119F" w:rsidRPr="00762D54" w:rsidRDefault="0030119F" w:rsidP="00C4128F">
            <w:pPr>
              <w:pStyle w:val="Prrafodelista"/>
              <w:numPr>
                <w:ilvl w:val="0"/>
                <w:numId w:val="1"/>
              </w:numPr>
              <w:ind w:left="306" w:hanging="306"/>
              <w:jc w:val="both"/>
              <w:rPr>
                <w:rFonts w:ascii="Arial" w:hAnsi="Arial" w:cs="Arial"/>
                <w:spacing w:val="2"/>
              </w:rPr>
            </w:pPr>
            <w:r w:rsidRPr="00975049">
              <w:rPr>
                <w:rFonts w:ascii="Arial" w:hAnsi="Arial" w:cs="Arial"/>
              </w:rPr>
              <w:t>Seleccionar y organizar con rigor académico información procedente de distintos tipos de fuentes.</w:t>
            </w:r>
          </w:p>
        </w:tc>
        <w:tc>
          <w:tcPr>
            <w:tcW w:w="247" w:type="pct"/>
          </w:tcPr>
          <w:p w:rsidR="0030119F" w:rsidRPr="008716FA" w:rsidRDefault="0030119F" w:rsidP="006D04FC">
            <w:pPr>
              <w:ind w:left="480"/>
              <w:contextualSpacing/>
              <w:jc w:val="both"/>
              <w:rPr>
                <w:rFonts w:ascii="Arial" w:hAnsi="Arial" w:cs="Arial"/>
                <w:spacing w:val="2"/>
              </w:rPr>
            </w:pPr>
          </w:p>
        </w:tc>
        <w:tc>
          <w:tcPr>
            <w:tcW w:w="247" w:type="pct"/>
          </w:tcPr>
          <w:p w:rsidR="0030119F" w:rsidRPr="008716FA" w:rsidRDefault="0030119F" w:rsidP="006D04FC">
            <w:pPr>
              <w:ind w:left="480"/>
              <w:contextualSpacing/>
              <w:jc w:val="both"/>
              <w:rPr>
                <w:rFonts w:ascii="Arial" w:hAnsi="Arial" w:cs="Arial"/>
                <w:spacing w:val="2"/>
              </w:rPr>
            </w:pPr>
          </w:p>
        </w:tc>
        <w:tc>
          <w:tcPr>
            <w:tcW w:w="247" w:type="pct"/>
          </w:tcPr>
          <w:p w:rsidR="0030119F" w:rsidRPr="008716FA" w:rsidRDefault="0030119F" w:rsidP="006D04FC">
            <w:pPr>
              <w:ind w:left="480"/>
              <w:contextualSpacing/>
              <w:jc w:val="both"/>
              <w:rPr>
                <w:rFonts w:ascii="Arial" w:hAnsi="Arial" w:cs="Arial"/>
                <w:spacing w:val="2"/>
              </w:rPr>
            </w:pPr>
          </w:p>
        </w:tc>
        <w:tc>
          <w:tcPr>
            <w:tcW w:w="247" w:type="pct"/>
          </w:tcPr>
          <w:p w:rsidR="0030119F" w:rsidRPr="008716FA" w:rsidRDefault="0030119F" w:rsidP="006D04FC">
            <w:pPr>
              <w:ind w:left="480"/>
              <w:contextualSpacing/>
              <w:jc w:val="both"/>
              <w:rPr>
                <w:rFonts w:ascii="Arial" w:hAnsi="Arial" w:cs="Arial"/>
                <w:spacing w:val="2"/>
              </w:rPr>
            </w:pPr>
          </w:p>
        </w:tc>
      </w:tr>
      <w:tr w:rsidR="0030119F" w:rsidRPr="008716FA" w:rsidTr="00D016BA">
        <w:tc>
          <w:tcPr>
            <w:tcW w:w="4012" w:type="pct"/>
            <w:shd w:val="clear" w:color="auto" w:fill="FFC000" w:themeFill="accent4"/>
          </w:tcPr>
          <w:p w:rsidR="0030119F" w:rsidRPr="008716FA" w:rsidRDefault="0030119F" w:rsidP="0030119F">
            <w:pPr>
              <w:contextualSpacing/>
              <w:rPr>
                <w:rFonts w:ascii="Arial" w:hAnsi="Arial" w:cs="Arial"/>
                <w:b/>
                <w:spacing w:val="2"/>
              </w:rPr>
            </w:pPr>
            <w:r w:rsidRPr="008716FA">
              <w:rPr>
                <w:rFonts w:ascii="Arial" w:hAnsi="Arial" w:cs="Arial"/>
                <w:b/>
                <w:spacing w:val="2"/>
              </w:rPr>
              <w:t>Acerca del tem</w:t>
            </w:r>
            <w:r>
              <w:rPr>
                <w:rFonts w:ascii="Arial" w:hAnsi="Arial" w:cs="Arial"/>
                <w:b/>
                <w:spacing w:val="2"/>
              </w:rPr>
              <w:t xml:space="preserve">a </w:t>
            </w:r>
            <w:proofErr w:type="spellStart"/>
            <w:r w:rsidRPr="00375A4B">
              <w:rPr>
                <w:rFonts w:ascii="Arial" w:hAnsi="Arial" w:cs="Arial"/>
                <w:b/>
                <w:spacing w:val="2"/>
              </w:rPr>
              <w:t>Tema</w:t>
            </w:r>
            <w:proofErr w:type="spellEnd"/>
            <w:r w:rsidRPr="00375A4B">
              <w:rPr>
                <w:rFonts w:ascii="Arial" w:hAnsi="Arial" w:cs="Arial"/>
                <w:b/>
                <w:spacing w:val="2"/>
              </w:rPr>
              <w:t xml:space="preserve"> 4.3 El arte mexicano como patrimonio cultural</w:t>
            </w:r>
            <w:r w:rsidRPr="008716FA">
              <w:rPr>
                <w:rFonts w:ascii="Arial" w:hAnsi="Arial" w:cs="Arial"/>
                <w:b/>
                <w:spacing w:val="2"/>
              </w:rPr>
              <w:t xml:space="preserve">, logré . . . </w:t>
            </w:r>
          </w:p>
        </w:tc>
        <w:tc>
          <w:tcPr>
            <w:tcW w:w="247" w:type="pct"/>
            <w:shd w:val="clear" w:color="auto" w:fill="FFC000" w:themeFill="accent4"/>
            <w:tcMar>
              <w:left w:w="0" w:type="dxa"/>
              <w:right w:w="0" w:type="dxa"/>
            </w:tcMar>
          </w:tcPr>
          <w:p w:rsidR="0030119F" w:rsidRPr="0030119F" w:rsidRDefault="0030119F" w:rsidP="0030119F">
            <w:pPr>
              <w:ind w:left="-58"/>
              <w:contextualSpacing/>
              <w:jc w:val="center"/>
              <w:rPr>
                <w:rFonts w:ascii="Arial" w:hAnsi="Arial" w:cs="Arial"/>
                <w:b/>
                <w:bCs/>
                <w:spacing w:val="2"/>
              </w:rPr>
            </w:pPr>
            <w:r w:rsidRPr="0030119F">
              <w:rPr>
                <w:rFonts w:ascii="Arial" w:hAnsi="Arial" w:cs="Arial"/>
                <w:b/>
                <w:bCs/>
                <w:spacing w:val="2"/>
              </w:rPr>
              <w:t>3</w:t>
            </w:r>
          </w:p>
        </w:tc>
        <w:tc>
          <w:tcPr>
            <w:tcW w:w="247" w:type="pct"/>
            <w:shd w:val="clear" w:color="auto" w:fill="FFC000" w:themeFill="accent4"/>
            <w:tcMar>
              <w:left w:w="0" w:type="dxa"/>
              <w:right w:w="0" w:type="dxa"/>
            </w:tcMar>
          </w:tcPr>
          <w:p w:rsidR="0030119F" w:rsidRPr="0030119F" w:rsidRDefault="0030119F" w:rsidP="0030119F">
            <w:pPr>
              <w:contextualSpacing/>
              <w:jc w:val="center"/>
              <w:rPr>
                <w:rFonts w:ascii="Arial" w:hAnsi="Arial" w:cs="Arial"/>
                <w:b/>
                <w:bCs/>
                <w:spacing w:val="2"/>
              </w:rPr>
            </w:pPr>
            <w:r w:rsidRPr="0030119F">
              <w:rPr>
                <w:rFonts w:ascii="Arial" w:hAnsi="Arial" w:cs="Arial"/>
                <w:b/>
                <w:bCs/>
                <w:spacing w:val="2"/>
              </w:rPr>
              <w:t>2</w:t>
            </w:r>
          </w:p>
        </w:tc>
        <w:tc>
          <w:tcPr>
            <w:tcW w:w="247" w:type="pct"/>
            <w:shd w:val="clear" w:color="auto" w:fill="FFC000" w:themeFill="accent4"/>
            <w:tcMar>
              <w:left w:w="0" w:type="dxa"/>
              <w:right w:w="0" w:type="dxa"/>
            </w:tcMar>
          </w:tcPr>
          <w:p w:rsidR="0030119F" w:rsidRPr="0030119F" w:rsidRDefault="0030119F" w:rsidP="0030119F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30119F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47" w:type="pct"/>
            <w:shd w:val="clear" w:color="auto" w:fill="FFC000" w:themeFill="accent4"/>
          </w:tcPr>
          <w:p w:rsidR="0030119F" w:rsidRPr="0030119F" w:rsidRDefault="0030119F" w:rsidP="0030119F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30119F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30119F" w:rsidRPr="008716FA" w:rsidTr="0030119F">
        <w:tc>
          <w:tcPr>
            <w:tcW w:w="4012" w:type="pct"/>
          </w:tcPr>
          <w:p w:rsidR="0030119F" w:rsidRPr="00762D54" w:rsidRDefault="0030119F" w:rsidP="00C4128F">
            <w:pPr>
              <w:pStyle w:val="font7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 w:rsidRPr="00224EE6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Distinguir los elementos constitutivos del patrimonio cultural mexicano.</w:t>
            </w:r>
          </w:p>
        </w:tc>
        <w:tc>
          <w:tcPr>
            <w:tcW w:w="247" w:type="pct"/>
          </w:tcPr>
          <w:p w:rsidR="0030119F" w:rsidRPr="008716FA" w:rsidRDefault="0030119F" w:rsidP="006D04FC">
            <w:pPr>
              <w:ind w:left="480"/>
              <w:contextualSpacing/>
              <w:jc w:val="both"/>
              <w:rPr>
                <w:rFonts w:ascii="Arial" w:hAnsi="Arial" w:cs="Arial"/>
                <w:spacing w:val="2"/>
              </w:rPr>
            </w:pPr>
          </w:p>
        </w:tc>
        <w:tc>
          <w:tcPr>
            <w:tcW w:w="247" w:type="pct"/>
          </w:tcPr>
          <w:p w:rsidR="0030119F" w:rsidRPr="008716FA" w:rsidRDefault="0030119F" w:rsidP="006D04FC">
            <w:pPr>
              <w:ind w:left="480"/>
              <w:contextualSpacing/>
              <w:jc w:val="both"/>
              <w:rPr>
                <w:rFonts w:ascii="Arial" w:hAnsi="Arial" w:cs="Arial"/>
                <w:spacing w:val="2"/>
              </w:rPr>
            </w:pPr>
          </w:p>
        </w:tc>
        <w:tc>
          <w:tcPr>
            <w:tcW w:w="247" w:type="pct"/>
          </w:tcPr>
          <w:p w:rsidR="0030119F" w:rsidRPr="008716FA" w:rsidRDefault="0030119F" w:rsidP="006D04FC">
            <w:pPr>
              <w:ind w:left="480"/>
              <w:contextualSpacing/>
              <w:jc w:val="both"/>
              <w:rPr>
                <w:rFonts w:ascii="Arial" w:hAnsi="Arial" w:cs="Arial"/>
                <w:spacing w:val="2"/>
              </w:rPr>
            </w:pPr>
          </w:p>
        </w:tc>
        <w:tc>
          <w:tcPr>
            <w:tcW w:w="247" w:type="pct"/>
          </w:tcPr>
          <w:p w:rsidR="0030119F" w:rsidRPr="008716FA" w:rsidRDefault="0030119F" w:rsidP="006D04FC">
            <w:pPr>
              <w:ind w:left="480"/>
              <w:contextualSpacing/>
              <w:jc w:val="both"/>
              <w:rPr>
                <w:rFonts w:ascii="Arial" w:hAnsi="Arial" w:cs="Arial"/>
                <w:spacing w:val="2"/>
              </w:rPr>
            </w:pPr>
          </w:p>
        </w:tc>
      </w:tr>
      <w:tr w:rsidR="0030119F" w:rsidRPr="008716FA" w:rsidTr="0030119F">
        <w:tc>
          <w:tcPr>
            <w:tcW w:w="4012" w:type="pct"/>
          </w:tcPr>
          <w:p w:rsidR="0030119F" w:rsidRPr="00762D54" w:rsidRDefault="0030119F" w:rsidP="00C4128F">
            <w:pPr>
              <w:pStyle w:val="font7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 w:rsidRPr="00224EE6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Reconocer las diferencias entre arte popular y arte de academia</w:t>
            </w:r>
            <w:r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, a partir de ejemplos centrados en el arte del México Antiguo, el arte Barroco, el arte Neoclásico, el muralismo mexicano y el arte popular. </w:t>
            </w:r>
          </w:p>
        </w:tc>
        <w:tc>
          <w:tcPr>
            <w:tcW w:w="247" w:type="pct"/>
          </w:tcPr>
          <w:p w:rsidR="0030119F" w:rsidRPr="008716FA" w:rsidRDefault="0030119F" w:rsidP="006D04FC">
            <w:pPr>
              <w:ind w:left="480"/>
              <w:contextualSpacing/>
              <w:jc w:val="both"/>
              <w:rPr>
                <w:rFonts w:ascii="Arial" w:hAnsi="Arial" w:cs="Arial"/>
                <w:spacing w:val="2"/>
              </w:rPr>
            </w:pPr>
          </w:p>
        </w:tc>
        <w:tc>
          <w:tcPr>
            <w:tcW w:w="247" w:type="pct"/>
          </w:tcPr>
          <w:p w:rsidR="0030119F" w:rsidRPr="008716FA" w:rsidRDefault="0030119F" w:rsidP="006D04FC">
            <w:pPr>
              <w:ind w:left="480"/>
              <w:contextualSpacing/>
              <w:jc w:val="both"/>
              <w:rPr>
                <w:rFonts w:ascii="Arial" w:hAnsi="Arial" w:cs="Arial"/>
                <w:spacing w:val="2"/>
              </w:rPr>
            </w:pPr>
          </w:p>
        </w:tc>
        <w:tc>
          <w:tcPr>
            <w:tcW w:w="247" w:type="pct"/>
          </w:tcPr>
          <w:p w:rsidR="0030119F" w:rsidRPr="008716FA" w:rsidRDefault="0030119F" w:rsidP="006D04FC">
            <w:pPr>
              <w:ind w:left="480"/>
              <w:contextualSpacing/>
              <w:jc w:val="both"/>
              <w:rPr>
                <w:rFonts w:ascii="Arial" w:hAnsi="Arial" w:cs="Arial"/>
                <w:spacing w:val="2"/>
              </w:rPr>
            </w:pPr>
          </w:p>
        </w:tc>
        <w:tc>
          <w:tcPr>
            <w:tcW w:w="247" w:type="pct"/>
          </w:tcPr>
          <w:p w:rsidR="0030119F" w:rsidRPr="008716FA" w:rsidRDefault="0030119F" w:rsidP="006D04FC">
            <w:pPr>
              <w:ind w:left="480"/>
              <w:contextualSpacing/>
              <w:jc w:val="both"/>
              <w:rPr>
                <w:rFonts w:ascii="Arial" w:hAnsi="Arial" w:cs="Arial"/>
                <w:spacing w:val="2"/>
              </w:rPr>
            </w:pPr>
          </w:p>
        </w:tc>
      </w:tr>
      <w:tr w:rsidR="0030119F" w:rsidRPr="008716FA" w:rsidTr="0030119F">
        <w:tc>
          <w:tcPr>
            <w:tcW w:w="4012" w:type="pct"/>
          </w:tcPr>
          <w:p w:rsidR="0030119F" w:rsidRPr="00762D54" w:rsidRDefault="0030119F" w:rsidP="00C4128F">
            <w:pPr>
              <w:pStyle w:val="font7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 w:rsidRPr="00224EE6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Contrastar expresiones culturales de diversos momentos de la historia nacional tomando como referencia los elementos constitutivos del patrimonio cultural</w:t>
            </w:r>
            <w:r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247" w:type="pct"/>
          </w:tcPr>
          <w:p w:rsidR="0030119F" w:rsidRPr="008716FA" w:rsidRDefault="0030119F" w:rsidP="006D04FC">
            <w:pPr>
              <w:ind w:left="480"/>
              <w:contextualSpacing/>
              <w:jc w:val="both"/>
              <w:rPr>
                <w:rFonts w:ascii="Arial" w:hAnsi="Arial" w:cs="Arial"/>
                <w:spacing w:val="2"/>
              </w:rPr>
            </w:pPr>
          </w:p>
        </w:tc>
        <w:tc>
          <w:tcPr>
            <w:tcW w:w="247" w:type="pct"/>
          </w:tcPr>
          <w:p w:rsidR="0030119F" w:rsidRPr="008716FA" w:rsidRDefault="0030119F" w:rsidP="006D04FC">
            <w:pPr>
              <w:ind w:left="480"/>
              <w:contextualSpacing/>
              <w:jc w:val="both"/>
              <w:rPr>
                <w:rFonts w:ascii="Arial" w:hAnsi="Arial" w:cs="Arial"/>
                <w:spacing w:val="2"/>
              </w:rPr>
            </w:pPr>
          </w:p>
        </w:tc>
        <w:tc>
          <w:tcPr>
            <w:tcW w:w="247" w:type="pct"/>
          </w:tcPr>
          <w:p w:rsidR="0030119F" w:rsidRPr="008716FA" w:rsidRDefault="0030119F" w:rsidP="006D04FC">
            <w:pPr>
              <w:ind w:left="480"/>
              <w:contextualSpacing/>
              <w:jc w:val="both"/>
              <w:rPr>
                <w:rFonts w:ascii="Arial" w:hAnsi="Arial" w:cs="Arial"/>
                <w:spacing w:val="2"/>
              </w:rPr>
            </w:pPr>
          </w:p>
        </w:tc>
        <w:tc>
          <w:tcPr>
            <w:tcW w:w="247" w:type="pct"/>
          </w:tcPr>
          <w:p w:rsidR="0030119F" w:rsidRPr="008716FA" w:rsidRDefault="0030119F" w:rsidP="006D04FC">
            <w:pPr>
              <w:ind w:left="480"/>
              <w:contextualSpacing/>
              <w:jc w:val="both"/>
              <w:rPr>
                <w:rFonts w:ascii="Arial" w:hAnsi="Arial" w:cs="Arial"/>
                <w:spacing w:val="2"/>
              </w:rPr>
            </w:pPr>
          </w:p>
        </w:tc>
      </w:tr>
      <w:tr w:rsidR="0030119F" w:rsidRPr="008716FA" w:rsidTr="0030119F">
        <w:tc>
          <w:tcPr>
            <w:tcW w:w="4012" w:type="pct"/>
          </w:tcPr>
          <w:p w:rsidR="0030119F" w:rsidRPr="00762D54" w:rsidRDefault="0030119F" w:rsidP="00C4128F">
            <w:pPr>
              <w:pStyle w:val="font7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 w:rsidRPr="00224EE6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Explicar los riesgos de deterioro y destrucción del patrimonio cultural en el contexto de la globalización, así como sus posibles soluciones.</w:t>
            </w:r>
          </w:p>
        </w:tc>
        <w:tc>
          <w:tcPr>
            <w:tcW w:w="247" w:type="pct"/>
          </w:tcPr>
          <w:p w:rsidR="0030119F" w:rsidRPr="008716FA" w:rsidRDefault="0030119F" w:rsidP="006D04FC">
            <w:pPr>
              <w:ind w:left="480"/>
              <w:contextualSpacing/>
              <w:jc w:val="both"/>
              <w:rPr>
                <w:rFonts w:ascii="Arial" w:hAnsi="Arial" w:cs="Arial"/>
                <w:spacing w:val="2"/>
              </w:rPr>
            </w:pPr>
          </w:p>
        </w:tc>
        <w:tc>
          <w:tcPr>
            <w:tcW w:w="247" w:type="pct"/>
          </w:tcPr>
          <w:p w:rsidR="0030119F" w:rsidRPr="008716FA" w:rsidRDefault="0030119F" w:rsidP="006D04FC">
            <w:pPr>
              <w:ind w:left="480"/>
              <w:contextualSpacing/>
              <w:jc w:val="both"/>
              <w:rPr>
                <w:rFonts w:ascii="Arial" w:hAnsi="Arial" w:cs="Arial"/>
                <w:spacing w:val="2"/>
              </w:rPr>
            </w:pPr>
          </w:p>
        </w:tc>
        <w:tc>
          <w:tcPr>
            <w:tcW w:w="247" w:type="pct"/>
          </w:tcPr>
          <w:p w:rsidR="0030119F" w:rsidRPr="008716FA" w:rsidRDefault="0030119F" w:rsidP="006D04FC">
            <w:pPr>
              <w:ind w:left="480"/>
              <w:contextualSpacing/>
              <w:jc w:val="both"/>
              <w:rPr>
                <w:rFonts w:ascii="Arial" w:hAnsi="Arial" w:cs="Arial"/>
                <w:spacing w:val="2"/>
              </w:rPr>
            </w:pPr>
          </w:p>
        </w:tc>
        <w:tc>
          <w:tcPr>
            <w:tcW w:w="247" w:type="pct"/>
          </w:tcPr>
          <w:p w:rsidR="0030119F" w:rsidRPr="008716FA" w:rsidRDefault="0030119F" w:rsidP="006D04FC">
            <w:pPr>
              <w:ind w:left="480"/>
              <w:contextualSpacing/>
              <w:jc w:val="both"/>
              <w:rPr>
                <w:rFonts w:ascii="Arial" w:hAnsi="Arial" w:cs="Arial"/>
                <w:spacing w:val="2"/>
              </w:rPr>
            </w:pPr>
          </w:p>
        </w:tc>
      </w:tr>
      <w:tr w:rsidR="0030119F" w:rsidRPr="008716FA" w:rsidTr="0030119F">
        <w:tc>
          <w:tcPr>
            <w:tcW w:w="4012" w:type="pct"/>
          </w:tcPr>
          <w:p w:rsidR="0030119F" w:rsidRPr="00762D54" w:rsidRDefault="0030119F" w:rsidP="00C4128F">
            <w:pPr>
              <w:pStyle w:val="font7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 w:rsidRPr="00224EE6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Proponer valores y actitudes para fomentar la conservación del patrimonio cultural</w:t>
            </w:r>
          </w:p>
        </w:tc>
        <w:tc>
          <w:tcPr>
            <w:tcW w:w="247" w:type="pct"/>
          </w:tcPr>
          <w:p w:rsidR="0030119F" w:rsidRPr="008716FA" w:rsidRDefault="0030119F" w:rsidP="006D04FC">
            <w:pPr>
              <w:ind w:left="480"/>
              <w:contextualSpacing/>
              <w:jc w:val="both"/>
              <w:rPr>
                <w:rFonts w:ascii="Arial" w:hAnsi="Arial" w:cs="Arial"/>
                <w:spacing w:val="2"/>
              </w:rPr>
            </w:pPr>
          </w:p>
        </w:tc>
        <w:tc>
          <w:tcPr>
            <w:tcW w:w="247" w:type="pct"/>
          </w:tcPr>
          <w:p w:rsidR="0030119F" w:rsidRPr="008716FA" w:rsidRDefault="0030119F" w:rsidP="006D04FC">
            <w:pPr>
              <w:ind w:left="480"/>
              <w:contextualSpacing/>
              <w:jc w:val="both"/>
              <w:rPr>
                <w:rFonts w:ascii="Arial" w:hAnsi="Arial" w:cs="Arial"/>
                <w:spacing w:val="2"/>
              </w:rPr>
            </w:pPr>
          </w:p>
        </w:tc>
        <w:tc>
          <w:tcPr>
            <w:tcW w:w="247" w:type="pct"/>
          </w:tcPr>
          <w:p w:rsidR="0030119F" w:rsidRPr="008716FA" w:rsidRDefault="0030119F" w:rsidP="006D04FC">
            <w:pPr>
              <w:ind w:left="480"/>
              <w:contextualSpacing/>
              <w:jc w:val="both"/>
              <w:rPr>
                <w:rFonts w:ascii="Arial" w:hAnsi="Arial" w:cs="Arial"/>
                <w:spacing w:val="2"/>
              </w:rPr>
            </w:pPr>
          </w:p>
        </w:tc>
        <w:tc>
          <w:tcPr>
            <w:tcW w:w="247" w:type="pct"/>
          </w:tcPr>
          <w:p w:rsidR="0030119F" w:rsidRPr="008716FA" w:rsidRDefault="0030119F" w:rsidP="006D04FC">
            <w:pPr>
              <w:ind w:left="480"/>
              <w:contextualSpacing/>
              <w:jc w:val="both"/>
              <w:rPr>
                <w:rFonts w:ascii="Arial" w:hAnsi="Arial" w:cs="Arial"/>
                <w:spacing w:val="2"/>
              </w:rPr>
            </w:pPr>
          </w:p>
        </w:tc>
      </w:tr>
      <w:tr w:rsidR="0030119F" w:rsidRPr="008716FA" w:rsidTr="0030119F">
        <w:tc>
          <w:tcPr>
            <w:tcW w:w="4012" w:type="pct"/>
          </w:tcPr>
          <w:p w:rsidR="0030119F" w:rsidRPr="00224EE6" w:rsidRDefault="0030119F" w:rsidP="00C4128F">
            <w:pPr>
              <w:pStyle w:val="font7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 w:rsidRPr="00224EE6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Procesar información procedente de distintas fuentes con rigor académico.</w:t>
            </w:r>
          </w:p>
        </w:tc>
        <w:tc>
          <w:tcPr>
            <w:tcW w:w="247" w:type="pct"/>
          </w:tcPr>
          <w:p w:rsidR="0030119F" w:rsidRPr="008716FA" w:rsidRDefault="0030119F" w:rsidP="006D04FC">
            <w:pPr>
              <w:ind w:left="480"/>
              <w:contextualSpacing/>
              <w:jc w:val="both"/>
              <w:rPr>
                <w:rFonts w:ascii="Arial" w:hAnsi="Arial" w:cs="Arial"/>
                <w:spacing w:val="2"/>
              </w:rPr>
            </w:pPr>
          </w:p>
        </w:tc>
        <w:tc>
          <w:tcPr>
            <w:tcW w:w="247" w:type="pct"/>
          </w:tcPr>
          <w:p w:rsidR="0030119F" w:rsidRPr="008716FA" w:rsidRDefault="0030119F" w:rsidP="006D04FC">
            <w:pPr>
              <w:ind w:left="480"/>
              <w:contextualSpacing/>
              <w:jc w:val="both"/>
              <w:rPr>
                <w:rFonts w:ascii="Arial" w:hAnsi="Arial" w:cs="Arial"/>
                <w:spacing w:val="2"/>
              </w:rPr>
            </w:pPr>
          </w:p>
        </w:tc>
        <w:tc>
          <w:tcPr>
            <w:tcW w:w="247" w:type="pct"/>
          </w:tcPr>
          <w:p w:rsidR="0030119F" w:rsidRPr="008716FA" w:rsidRDefault="0030119F" w:rsidP="006D04FC">
            <w:pPr>
              <w:ind w:left="480"/>
              <w:contextualSpacing/>
              <w:jc w:val="both"/>
              <w:rPr>
                <w:rFonts w:ascii="Arial" w:hAnsi="Arial" w:cs="Arial"/>
                <w:spacing w:val="2"/>
              </w:rPr>
            </w:pPr>
          </w:p>
        </w:tc>
        <w:tc>
          <w:tcPr>
            <w:tcW w:w="247" w:type="pct"/>
          </w:tcPr>
          <w:p w:rsidR="0030119F" w:rsidRPr="008716FA" w:rsidRDefault="0030119F" w:rsidP="006D04FC">
            <w:pPr>
              <w:ind w:left="480"/>
              <w:contextualSpacing/>
              <w:jc w:val="both"/>
              <w:rPr>
                <w:rFonts w:ascii="Arial" w:hAnsi="Arial" w:cs="Arial"/>
                <w:spacing w:val="2"/>
              </w:rPr>
            </w:pPr>
          </w:p>
        </w:tc>
      </w:tr>
    </w:tbl>
    <w:p w:rsidR="0018676A" w:rsidRDefault="002B5186"/>
    <w:sectPr w:rsidR="0018676A" w:rsidSect="00EB05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0011C"/>
    <w:multiLevelType w:val="hybridMultilevel"/>
    <w:tmpl w:val="EC8A282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28F"/>
    <w:rsid w:val="00162501"/>
    <w:rsid w:val="002A4989"/>
    <w:rsid w:val="002B5186"/>
    <w:rsid w:val="0030119F"/>
    <w:rsid w:val="004424AE"/>
    <w:rsid w:val="00770454"/>
    <w:rsid w:val="007859A7"/>
    <w:rsid w:val="009447C6"/>
    <w:rsid w:val="009B64D3"/>
    <w:rsid w:val="009D089C"/>
    <w:rsid w:val="00A32225"/>
    <w:rsid w:val="00A43329"/>
    <w:rsid w:val="00B6113E"/>
    <w:rsid w:val="00C4128F"/>
    <w:rsid w:val="00D016BA"/>
    <w:rsid w:val="00EB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E4D458"/>
  <w15:chartTrackingRefBased/>
  <w15:docId w15:val="{6C6AFE66-4CA3-574E-9E93-D381D869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MX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128F"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4128F"/>
    <w:rPr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4128F"/>
    <w:pPr>
      <w:ind w:left="720"/>
      <w:contextualSpacing/>
    </w:pPr>
  </w:style>
  <w:style w:type="paragraph" w:customStyle="1" w:styleId="font7">
    <w:name w:val="font_7"/>
    <w:basedOn w:val="Normal"/>
    <w:rsid w:val="00C4128F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629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Vázquez León</dc:creator>
  <cp:keywords/>
  <dc:description/>
  <cp:lastModifiedBy>Edith Vázquez León</cp:lastModifiedBy>
  <cp:revision>4</cp:revision>
  <cp:lastPrinted>2019-03-19T18:51:00Z</cp:lastPrinted>
  <dcterms:created xsi:type="dcterms:W3CDTF">2019-03-19T18:28:00Z</dcterms:created>
  <dcterms:modified xsi:type="dcterms:W3CDTF">2019-03-19T18:53:00Z</dcterms:modified>
</cp:coreProperties>
</file>